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671D5" w14:textId="115C8BEC" w:rsidR="00100279" w:rsidRPr="00100279" w:rsidRDefault="00100279" w:rsidP="00100279">
      <w:pPr>
        <w:spacing w:after="0" w:line="240" w:lineRule="auto"/>
        <w:jc w:val="both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  <w:r w:rsidRPr="00100279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iJOBS Description</w:t>
      </w:r>
      <w:r w:rsidR="001E498D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 xml:space="preserve"> for Grants</w:t>
      </w:r>
    </w:p>
    <w:p w14:paraId="05A704CA" w14:textId="77777777" w:rsidR="00100279" w:rsidRPr="00100279" w:rsidRDefault="00100279" w:rsidP="00100279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</w:rPr>
      </w:pPr>
    </w:p>
    <w:p w14:paraId="593B25C1" w14:textId="7479F488" w:rsidR="00CE2AE5" w:rsidRPr="00100279" w:rsidRDefault="008474B2" w:rsidP="0010027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0279">
        <w:rPr>
          <w:rFonts w:ascii="Arial" w:hAnsi="Arial" w:cs="Arial"/>
          <w:noProof/>
          <w:color w:val="000000" w:themeColor="text1"/>
          <w:sz w:val="24"/>
          <w:szCs w:val="24"/>
        </w:rPr>
        <w:t xml:space="preserve">The goal of the </w:t>
      </w:r>
      <w:r w:rsidR="00B91657" w:rsidRPr="00100279">
        <w:rPr>
          <w:rFonts w:ascii="Arial" w:hAnsi="Arial" w:cs="Arial"/>
          <w:noProof/>
          <w:color w:val="000000" w:themeColor="text1"/>
          <w:sz w:val="24"/>
          <w:szCs w:val="24"/>
        </w:rPr>
        <w:t>Rutgers University’s iJOBS Program (interdisciplinary Job Opportunities for Biomedical Scientists)</w:t>
      </w:r>
      <w:r w:rsidRPr="00100279">
        <w:rPr>
          <w:rFonts w:ascii="Arial" w:hAnsi="Arial" w:cs="Arial"/>
          <w:noProof/>
          <w:color w:val="000000" w:themeColor="text1"/>
          <w:sz w:val="24"/>
          <w:szCs w:val="24"/>
        </w:rPr>
        <w:t xml:space="preserve"> is</w:t>
      </w:r>
      <w:r w:rsidR="00B91657" w:rsidRPr="00100279">
        <w:rPr>
          <w:rFonts w:ascii="Arial" w:hAnsi="Arial" w:cs="Arial"/>
          <w:noProof/>
          <w:color w:val="000000" w:themeColor="text1"/>
          <w:sz w:val="24"/>
          <w:szCs w:val="24"/>
        </w:rPr>
        <w:t xml:space="preserve"> </w:t>
      </w:r>
      <w:r w:rsidR="00B91657" w:rsidRPr="00100279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t</w:t>
      </w:r>
      <w:r w:rsidR="00B91657" w:rsidRPr="00100279"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B91657" w:rsidRPr="00100279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 xml:space="preserve"> </w:t>
      </w:r>
      <w:r w:rsidR="00B91657" w:rsidRPr="00100279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>expose</w:t>
      </w:r>
      <w:r w:rsidR="00B91657" w:rsidRPr="0010027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B91657" w:rsidRPr="00100279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>b</w:t>
      </w:r>
      <w:r w:rsidR="00B91657" w:rsidRPr="00100279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B91657" w:rsidRPr="00100279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o</w:t>
      </w:r>
      <w:r w:rsidR="00B91657" w:rsidRPr="00100279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>m</w:t>
      </w:r>
      <w:r w:rsidR="00B91657" w:rsidRPr="00100279">
        <w:rPr>
          <w:rFonts w:ascii="Arial" w:eastAsia="Calibri" w:hAnsi="Arial" w:cs="Arial"/>
          <w:color w:val="000000" w:themeColor="text1"/>
          <w:sz w:val="24"/>
          <w:szCs w:val="24"/>
        </w:rPr>
        <w:t>ed</w:t>
      </w:r>
      <w:r w:rsidR="00B91657" w:rsidRPr="00100279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>i</w:t>
      </w:r>
      <w:r w:rsidR="00B91657" w:rsidRPr="00100279">
        <w:rPr>
          <w:rFonts w:ascii="Arial" w:eastAsia="Calibri" w:hAnsi="Arial" w:cs="Arial"/>
          <w:color w:val="000000" w:themeColor="text1"/>
          <w:sz w:val="24"/>
          <w:szCs w:val="24"/>
        </w:rPr>
        <w:t xml:space="preserve">cal </w:t>
      </w:r>
      <w:r w:rsidR="00B91657" w:rsidRPr="00100279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P</w:t>
      </w:r>
      <w:r w:rsidR="00B91657" w:rsidRPr="00100279">
        <w:rPr>
          <w:rFonts w:ascii="Arial" w:eastAsia="Calibri" w:hAnsi="Arial" w:cs="Arial"/>
          <w:color w:val="000000" w:themeColor="text1"/>
          <w:spacing w:val="-3"/>
          <w:sz w:val="24"/>
          <w:szCs w:val="24"/>
        </w:rPr>
        <w:t>h</w:t>
      </w:r>
      <w:r w:rsidR="00B91657" w:rsidRPr="00100279">
        <w:rPr>
          <w:rFonts w:ascii="Arial" w:eastAsia="Calibri" w:hAnsi="Arial" w:cs="Arial"/>
          <w:color w:val="000000" w:themeColor="text1"/>
          <w:sz w:val="24"/>
          <w:szCs w:val="24"/>
        </w:rPr>
        <w:t>D</w:t>
      </w:r>
      <w:r w:rsidR="00B91657" w:rsidRPr="00100279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 xml:space="preserve"> </w:t>
      </w:r>
      <w:r w:rsidR="00B91657" w:rsidRPr="00100279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="00B91657" w:rsidRPr="00100279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>tud</w:t>
      </w:r>
      <w:r w:rsidR="00B91657" w:rsidRPr="00100279">
        <w:rPr>
          <w:rFonts w:ascii="Arial" w:eastAsia="Calibri" w:hAnsi="Arial" w:cs="Arial"/>
          <w:color w:val="000000" w:themeColor="text1"/>
          <w:sz w:val="24"/>
          <w:szCs w:val="24"/>
        </w:rPr>
        <w:t>ents</w:t>
      </w:r>
      <w:r w:rsidR="00B91657" w:rsidRPr="00100279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 xml:space="preserve"> </w:t>
      </w:r>
      <w:r w:rsidR="00B91657" w:rsidRPr="00100279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="00B91657" w:rsidRPr="00100279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>n</w:t>
      </w:r>
      <w:r w:rsidR="00B91657" w:rsidRPr="00100279">
        <w:rPr>
          <w:rFonts w:ascii="Arial" w:eastAsia="Calibri" w:hAnsi="Arial" w:cs="Arial"/>
          <w:color w:val="000000" w:themeColor="text1"/>
          <w:sz w:val="24"/>
          <w:szCs w:val="24"/>
        </w:rPr>
        <w:t>d</w:t>
      </w:r>
      <w:r w:rsidR="00B91657" w:rsidRPr="00100279">
        <w:rPr>
          <w:rFonts w:ascii="Arial" w:eastAsia="Calibri" w:hAnsi="Arial" w:cs="Arial"/>
          <w:color w:val="000000" w:themeColor="text1"/>
          <w:spacing w:val="2"/>
          <w:sz w:val="24"/>
          <w:szCs w:val="24"/>
        </w:rPr>
        <w:t xml:space="preserve"> </w:t>
      </w:r>
      <w:r w:rsidR="00B91657" w:rsidRPr="00100279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>po</w:t>
      </w:r>
      <w:r w:rsidR="00B91657" w:rsidRPr="00100279">
        <w:rPr>
          <w:rFonts w:ascii="Arial" w:eastAsia="Calibri" w:hAnsi="Arial" w:cs="Arial"/>
          <w:color w:val="000000" w:themeColor="text1"/>
          <w:sz w:val="24"/>
          <w:szCs w:val="24"/>
        </w:rPr>
        <w:t>std</w:t>
      </w:r>
      <w:r w:rsidR="00B91657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>o</w:t>
      </w:r>
      <w:r w:rsidR="00B91657" w:rsidRPr="00100279">
        <w:rPr>
          <w:rFonts w:ascii="Arial" w:eastAsia="Calibri" w:hAnsi="Arial" w:cs="Arial"/>
          <w:color w:val="000000" w:themeColor="text1"/>
          <w:sz w:val="24"/>
          <w:szCs w:val="24"/>
        </w:rPr>
        <w:t>cto</w:t>
      </w:r>
      <w:r w:rsidR="00B91657" w:rsidRPr="00100279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>r</w:t>
      </w:r>
      <w:r w:rsidR="00B91657" w:rsidRPr="00100279">
        <w:rPr>
          <w:rFonts w:ascii="Arial" w:eastAsia="Calibri" w:hAnsi="Arial" w:cs="Arial"/>
          <w:color w:val="000000" w:themeColor="text1"/>
          <w:sz w:val="24"/>
          <w:szCs w:val="24"/>
        </w:rPr>
        <w:t>al fellows</w:t>
      </w:r>
      <w:r w:rsidR="00B91657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t</w:t>
      </w:r>
      <w:r w:rsidR="00B91657" w:rsidRPr="00100279"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B91657" w:rsidRPr="00100279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 xml:space="preserve"> </w:t>
      </w:r>
      <w:r w:rsidR="00F165DE" w:rsidRPr="00100279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 xml:space="preserve">the large variety of </w:t>
      </w:r>
      <w:r w:rsidR="00B91657" w:rsidRPr="00100279">
        <w:rPr>
          <w:rFonts w:ascii="Arial" w:eastAsia="Calibri" w:hAnsi="Arial" w:cs="Arial"/>
          <w:color w:val="000000" w:themeColor="text1"/>
          <w:sz w:val="24"/>
          <w:szCs w:val="24"/>
        </w:rPr>
        <w:t xml:space="preserve">non-academic </w:t>
      </w:r>
      <w:r w:rsidR="00F165DE" w:rsidRPr="00100279">
        <w:rPr>
          <w:rFonts w:ascii="Arial" w:eastAsia="Calibri" w:hAnsi="Arial" w:cs="Arial"/>
          <w:color w:val="000000" w:themeColor="text1"/>
          <w:sz w:val="24"/>
          <w:szCs w:val="24"/>
        </w:rPr>
        <w:t>career options</w:t>
      </w:r>
      <w:r w:rsidR="003863BB" w:rsidRPr="00100279">
        <w:rPr>
          <w:rFonts w:ascii="Arial" w:eastAsia="Calibri" w:hAnsi="Arial" w:cs="Arial"/>
          <w:color w:val="000000" w:themeColor="text1"/>
          <w:sz w:val="24"/>
          <w:szCs w:val="24"/>
        </w:rPr>
        <w:t xml:space="preserve"> as well as give them skills useful for academic careers</w:t>
      </w:r>
      <w:r w:rsidRPr="00100279">
        <w:rPr>
          <w:rFonts w:ascii="Arial" w:eastAsia="Calibri" w:hAnsi="Arial" w:cs="Arial"/>
          <w:color w:val="000000" w:themeColor="text1"/>
          <w:sz w:val="24"/>
          <w:szCs w:val="24"/>
        </w:rPr>
        <w:t xml:space="preserve">.  </w:t>
      </w:r>
      <w:proofErr w:type="spellStart"/>
      <w:r w:rsidRPr="00100279">
        <w:rPr>
          <w:rFonts w:ascii="Arial" w:eastAsia="Calibri" w:hAnsi="Arial" w:cs="Arial"/>
          <w:color w:val="000000" w:themeColor="text1"/>
          <w:sz w:val="24"/>
          <w:szCs w:val="24"/>
        </w:rPr>
        <w:t>iJOBS</w:t>
      </w:r>
      <w:proofErr w:type="spellEnd"/>
      <w:r w:rsidRPr="0010027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100279">
        <w:rPr>
          <w:rFonts w:ascii="Arial" w:hAnsi="Arial" w:cs="Arial"/>
          <w:noProof/>
          <w:color w:val="000000" w:themeColor="text1"/>
          <w:sz w:val="24"/>
          <w:szCs w:val="24"/>
        </w:rPr>
        <w:t xml:space="preserve">is </w:t>
      </w:r>
      <w:r w:rsidRPr="00100279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funded by</w:t>
      </w:r>
      <w:r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100279">
        <w:rPr>
          <w:rFonts w:ascii="Arial" w:eastAsia="Calibri" w:hAnsi="Arial" w:cs="Arial"/>
          <w:color w:val="000000" w:themeColor="text1"/>
          <w:sz w:val="24"/>
          <w:szCs w:val="24"/>
        </w:rPr>
        <w:t>a grant from the NIH Broadening Experiences in Scientific Training initiative</w:t>
      </w:r>
      <w:r w:rsidRPr="00100279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100279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100279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00279">
        <w:rPr>
          <w:rFonts w:ascii="Arial" w:hAnsi="Arial" w:cs="Arial"/>
          <w:noProof/>
          <w:color w:val="000000" w:themeColor="text1"/>
          <w:sz w:val="24"/>
          <w:szCs w:val="24"/>
        </w:rPr>
        <w:t xml:space="preserve">was established in </w:t>
      </w:r>
      <w:r w:rsidRPr="00100279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 xml:space="preserve">January 2015 to serve the graduate students and postdocs </w:t>
      </w:r>
      <w:r w:rsidR="005D52AA" w:rsidRPr="00100279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at</w:t>
      </w:r>
      <w:r w:rsidRPr="00100279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 xml:space="preserve"> the </w:t>
      </w:r>
      <w:r w:rsidR="00CE2AE5" w:rsidRPr="00100279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New Brunswick</w:t>
      </w:r>
      <w:r w:rsidR="00F165DE" w:rsidRPr="00100279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/Piscataway</w:t>
      </w:r>
      <w:r w:rsidR="005D52AA" w:rsidRPr="00100279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,</w:t>
      </w:r>
      <w:r w:rsidR="00CE2AE5" w:rsidRPr="00100279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 xml:space="preserve"> Newark</w:t>
      </w:r>
      <w:r w:rsidR="005D52AA" w:rsidRPr="00100279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,</w:t>
      </w:r>
      <w:r w:rsidR="00F165DE" w:rsidRPr="00100279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 xml:space="preserve"> </w:t>
      </w:r>
      <w:r w:rsidR="005D52AA" w:rsidRPr="00100279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 xml:space="preserve">and Camden </w:t>
      </w:r>
      <w:r w:rsidR="00B2350C" w:rsidRPr="00100279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 xml:space="preserve">Rutgers </w:t>
      </w:r>
      <w:r w:rsidR="00F165DE" w:rsidRPr="00100279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campuses</w:t>
      </w:r>
      <w:r w:rsidRPr="00100279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 xml:space="preserve">. There are 4 phases of the </w:t>
      </w:r>
      <w:proofErr w:type="spellStart"/>
      <w:r w:rsidRPr="00100279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>iJOBS</w:t>
      </w:r>
      <w:proofErr w:type="spellEnd"/>
      <w:r w:rsidRPr="00100279">
        <w:rPr>
          <w:rFonts w:ascii="Arial" w:eastAsia="Calibri" w:hAnsi="Arial" w:cs="Arial"/>
          <w:color w:val="000000" w:themeColor="text1"/>
          <w:spacing w:val="1"/>
          <w:sz w:val="24"/>
          <w:szCs w:val="24"/>
        </w:rPr>
        <w:t xml:space="preserve"> program</w:t>
      </w:r>
      <w:r w:rsidR="00CE2AE5" w:rsidRPr="00100279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="00CE2AE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Phase 1, </w:t>
      </w:r>
      <w:proofErr w:type="spellStart"/>
      <w:r w:rsidR="00CE2AE5" w:rsidRPr="00100279">
        <w:rPr>
          <w:rFonts w:ascii="Arial" w:eastAsia="Calibri" w:hAnsi="Arial" w:cs="Arial"/>
          <w:i/>
          <w:color w:val="000000" w:themeColor="text1"/>
          <w:spacing w:val="-2"/>
          <w:sz w:val="24"/>
          <w:szCs w:val="24"/>
        </w:rPr>
        <w:t>iNQUIRE</w:t>
      </w:r>
      <w:proofErr w:type="spellEnd"/>
      <w:r w:rsidR="00CE2AE5" w:rsidRPr="00100279">
        <w:rPr>
          <w:rFonts w:ascii="Arial" w:eastAsia="Calibri" w:hAnsi="Arial" w:cs="Arial"/>
          <w:i/>
          <w:color w:val="000000" w:themeColor="text1"/>
          <w:spacing w:val="-2"/>
          <w:sz w:val="24"/>
          <w:szCs w:val="24"/>
        </w:rPr>
        <w:t>,</w:t>
      </w:r>
      <w:r w:rsidR="00CE2AE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r w:rsidR="0030579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is open to anyone who wants to participate and </w:t>
      </w:r>
      <w:r w:rsidR="00B2350C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>consists of career panels</w:t>
      </w:r>
      <w:r w:rsidR="0030579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cover</w:t>
      </w:r>
      <w:r w:rsidR="003863BB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>ing</w:t>
      </w:r>
      <w:r w:rsidR="0030579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a range of career paths including, among others, </w:t>
      </w:r>
      <w:r w:rsidR="00305795" w:rsidRPr="00100279">
        <w:rPr>
          <w:rFonts w:ascii="Arial" w:eastAsia="Calibri" w:hAnsi="Arial" w:cs="Arial"/>
          <w:color w:val="000000" w:themeColor="text1"/>
          <w:sz w:val="24"/>
          <w:szCs w:val="24"/>
        </w:rPr>
        <w:t xml:space="preserve">Science and Health Policy, Intellectual Property Management, Industrial Development &amp; Business Management, Clinical and Regulatory Testing Support, Health &amp; Science Data Analysis, Science Writing, Non-profit Organizations, Publishing, Science Education, and Finance.  </w:t>
      </w:r>
      <w:r w:rsidR="0030579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>Trainees also can participate in s</w:t>
      </w:r>
      <w:r w:rsidR="00B2350C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>ite visits</w:t>
      </w:r>
      <w:r w:rsidR="0030579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to industrial partners</w:t>
      </w:r>
      <w:r w:rsidR="00B2350C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, </w:t>
      </w:r>
      <w:r w:rsidR="00CE2AE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>networking sessions</w:t>
      </w:r>
      <w:r w:rsidR="0030579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with professionals</w:t>
      </w:r>
      <w:r w:rsidR="003863BB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>,</w:t>
      </w:r>
      <w:r w:rsidR="00B2350C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and workshops. </w:t>
      </w:r>
      <w:r w:rsidR="003863BB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B2350C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>SciPhD</w:t>
      </w:r>
      <w:proofErr w:type="spellEnd"/>
      <w:r w:rsidR="00B2350C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is a</w:t>
      </w:r>
      <w:r w:rsidR="0030579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n intensive workshop offered </w:t>
      </w:r>
      <w:r w:rsidR="005D52AA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annually </w:t>
      </w:r>
      <w:r w:rsidR="00B2350C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>focused on enhancing communication, leadership, teamwork, business, negotiation and project management skills</w:t>
      </w:r>
      <w:r w:rsidR="00CE2AE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>. In Phase 2,</w:t>
      </w:r>
      <w:r w:rsidR="00CE2AE5" w:rsidRPr="00100279">
        <w:rPr>
          <w:rFonts w:ascii="Arial" w:eastAsia="Calibri" w:hAnsi="Arial" w:cs="Arial"/>
          <w:i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CE2AE5" w:rsidRPr="00100279">
        <w:rPr>
          <w:rFonts w:ascii="Arial" w:eastAsia="Calibri" w:hAnsi="Arial" w:cs="Arial"/>
          <w:i/>
          <w:color w:val="000000" w:themeColor="text1"/>
          <w:spacing w:val="-2"/>
          <w:sz w:val="24"/>
          <w:szCs w:val="24"/>
        </w:rPr>
        <w:t>iNITIATE</w:t>
      </w:r>
      <w:proofErr w:type="spellEnd"/>
      <w:r w:rsidR="00CE2AE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, trainees formally commit to the </w:t>
      </w:r>
      <w:proofErr w:type="spellStart"/>
      <w:r w:rsidR="00CE2AE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>iJOBS</w:t>
      </w:r>
      <w:proofErr w:type="spellEnd"/>
      <w:r w:rsidR="00CE2AE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program and apply to take part in intensive training and coursework for their career track of choice. Industrial partners demonstrate the career’s practical side with hosting of shadowing</w:t>
      </w:r>
      <w:r w:rsidR="005D52AA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/externship </w:t>
      </w:r>
      <w:r w:rsidR="00CE2AE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activities. Throughout, individual development plans document the journey and a </w:t>
      </w:r>
      <w:proofErr w:type="gramStart"/>
      <w:r w:rsidR="005D52AA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professional mentor </w:t>
      </w:r>
      <w:r w:rsidR="00CE2AE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>guides</w:t>
      </w:r>
      <w:proofErr w:type="gramEnd"/>
      <w:r w:rsidR="00CE2AE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and advises trainee progress. Within Phase 3, </w:t>
      </w:r>
      <w:proofErr w:type="spellStart"/>
      <w:r w:rsidR="00CE2AE5" w:rsidRPr="00100279">
        <w:rPr>
          <w:rFonts w:ascii="Arial" w:eastAsia="Calibri" w:hAnsi="Arial" w:cs="Arial"/>
          <w:i/>
          <w:color w:val="000000" w:themeColor="text1"/>
          <w:spacing w:val="-2"/>
          <w:sz w:val="24"/>
          <w:szCs w:val="24"/>
        </w:rPr>
        <w:t>iMPLEMENT</w:t>
      </w:r>
      <w:proofErr w:type="spellEnd"/>
      <w:r w:rsidR="00CE2AE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, </w:t>
      </w:r>
      <w:r w:rsidR="00B2350C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>r</w:t>
      </w:r>
      <w:r w:rsidR="00CE2AE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>esume</w:t>
      </w:r>
      <w:r w:rsidR="005D52AA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>, LinkedIn</w:t>
      </w:r>
      <w:r w:rsidR="00CE2AE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and application packages are honed and interview skills perfected with </w:t>
      </w:r>
      <w:proofErr w:type="spellStart"/>
      <w:r w:rsidR="00CE2AE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>iJOBS</w:t>
      </w:r>
      <w:proofErr w:type="spellEnd"/>
      <w:r w:rsidR="00CE2AE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training and </w:t>
      </w:r>
      <w:r w:rsidR="005D52AA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one-on-one </w:t>
      </w:r>
      <w:r w:rsidR="00CE2AE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coaching. Upon successful career placement, </w:t>
      </w:r>
      <w:proofErr w:type="spellStart"/>
      <w:r w:rsidR="00CE2AE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>iJOBS</w:t>
      </w:r>
      <w:proofErr w:type="spellEnd"/>
      <w:r w:rsidR="00CE2AE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program alumni are encouraged to share their wisdom with new </w:t>
      </w:r>
      <w:proofErr w:type="spellStart"/>
      <w:r w:rsidR="00CE2AE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>iJOBS</w:t>
      </w:r>
      <w:proofErr w:type="spellEnd"/>
      <w:r w:rsidR="00CE2AE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trainees in Phase 4,</w:t>
      </w:r>
      <w:r w:rsidR="00CE2AE5" w:rsidRPr="00100279">
        <w:rPr>
          <w:rFonts w:ascii="Arial" w:eastAsia="Calibri" w:hAnsi="Arial" w:cs="Arial"/>
          <w:i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CE2AE5" w:rsidRPr="00100279">
        <w:rPr>
          <w:rFonts w:ascii="Arial" w:eastAsia="Calibri" w:hAnsi="Arial" w:cs="Arial"/>
          <w:i/>
          <w:color w:val="000000" w:themeColor="text1"/>
          <w:spacing w:val="-2"/>
          <w:sz w:val="24"/>
          <w:szCs w:val="24"/>
        </w:rPr>
        <w:t>iNSTRUCT</w:t>
      </w:r>
      <w:proofErr w:type="spellEnd"/>
      <w:r w:rsidR="00CE2AE5" w:rsidRPr="00100279">
        <w:rPr>
          <w:rFonts w:ascii="Arial" w:eastAsia="Calibri" w:hAnsi="Arial" w:cs="Arial"/>
          <w:color w:val="000000" w:themeColor="text1"/>
          <w:spacing w:val="-2"/>
          <w:sz w:val="24"/>
          <w:szCs w:val="24"/>
        </w:rPr>
        <w:t xml:space="preserve"> as they serve as mentors, event hosts and shadow partners. </w:t>
      </w:r>
    </w:p>
    <w:p w14:paraId="4D2438C0" w14:textId="77777777" w:rsidR="00CE2AE5" w:rsidRPr="00715CEA" w:rsidRDefault="00CE2AE5" w:rsidP="00CE2AE5">
      <w:pPr>
        <w:autoSpaceDE w:val="0"/>
        <w:autoSpaceDN w:val="0"/>
        <w:adjustRightInd w:val="0"/>
        <w:spacing w:after="0" w:line="230" w:lineRule="exact"/>
        <w:rPr>
          <w:rFonts w:eastAsia="Calibri" w:cs="Calibri"/>
          <w:color w:val="000000" w:themeColor="text1"/>
          <w:spacing w:val="-2"/>
          <w:sz w:val="20"/>
          <w:szCs w:val="20"/>
        </w:rPr>
      </w:pPr>
    </w:p>
    <w:p w14:paraId="01A1FD36" w14:textId="77777777" w:rsidR="00B91657" w:rsidRPr="00F12D25" w:rsidRDefault="00B91657" w:rsidP="00B91657">
      <w:pPr>
        <w:spacing w:after="0" w:line="230" w:lineRule="exact"/>
        <w:ind w:right="66"/>
        <w:rPr>
          <w:rFonts w:eastAsia="Calibri" w:cs="Calibri"/>
          <w:color w:val="000000" w:themeColor="text1"/>
          <w:sz w:val="20"/>
          <w:szCs w:val="20"/>
        </w:rPr>
      </w:pPr>
    </w:p>
    <w:p w14:paraId="3E7BC3D4" w14:textId="77777777" w:rsidR="002177F5" w:rsidRDefault="002177F5"/>
    <w:sectPr w:rsidR="002177F5" w:rsidSect="00102B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57"/>
    <w:rsid w:val="00100279"/>
    <w:rsid w:val="00102B94"/>
    <w:rsid w:val="001E498D"/>
    <w:rsid w:val="002177F5"/>
    <w:rsid w:val="00305795"/>
    <w:rsid w:val="003863BB"/>
    <w:rsid w:val="005D52AA"/>
    <w:rsid w:val="005F416F"/>
    <w:rsid w:val="006363E3"/>
    <w:rsid w:val="008474B2"/>
    <w:rsid w:val="00920E19"/>
    <w:rsid w:val="00B2350C"/>
    <w:rsid w:val="00B91657"/>
    <w:rsid w:val="00CE2AE5"/>
    <w:rsid w:val="00F165D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95943A"/>
  <w15:docId w15:val="{E8609296-0C28-204D-90DE-632FEAE2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657"/>
    <w:pPr>
      <w:widowControl w:val="0"/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Company>UMDNJ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Alder Suss</dc:creator>
  <cp:keywords/>
  <dc:description/>
  <cp:lastModifiedBy>Janet Alder</cp:lastModifiedBy>
  <cp:revision>4</cp:revision>
  <dcterms:created xsi:type="dcterms:W3CDTF">2022-08-19T21:28:00Z</dcterms:created>
  <dcterms:modified xsi:type="dcterms:W3CDTF">2022-08-19T21:35:00Z</dcterms:modified>
</cp:coreProperties>
</file>